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2D517" w14:textId="295A34A7" w:rsidR="00826C94" w:rsidRPr="009D56B1" w:rsidRDefault="00826C94" w:rsidP="00826C94">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#99bis</w:t>
      </w:r>
      <w:r w:rsidRPr="009D56B1">
        <w:rPr>
          <w:bCs/>
          <w:noProof w:val="0"/>
          <w:sz w:val="24"/>
        </w:rPr>
        <w:tab/>
      </w:r>
      <w:r>
        <w:rPr>
          <w:bCs/>
          <w:noProof w:val="0"/>
          <w:sz w:val="24"/>
          <w:lang w:eastAsia="ja-JP"/>
        </w:rPr>
        <w:t>R2-</w:t>
      </w:r>
      <w:r w:rsidR="00225C81">
        <w:rPr>
          <w:bCs/>
          <w:noProof w:val="0"/>
          <w:sz w:val="24"/>
          <w:lang w:eastAsia="ja-JP"/>
        </w:rPr>
        <w:t>1710650</w:t>
      </w:r>
      <w:bookmarkStart w:id="0" w:name="_GoBack"/>
      <w:bookmarkEnd w:id="0"/>
    </w:p>
    <w:p w14:paraId="60EF47AF" w14:textId="2E05AD0C" w:rsidR="001C137C" w:rsidRPr="009D56B1" w:rsidRDefault="00826C94" w:rsidP="00826C94">
      <w:pPr>
        <w:pStyle w:val="Header"/>
        <w:tabs>
          <w:tab w:val="right" w:pos="9639"/>
        </w:tabs>
        <w:rPr>
          <w:bCs/>
          <w:i/>
          <w:noProof w:val="0"/>
          <w:sz w:val="24"/>
        </w:rPr>
      </w:pPr>
      <w:r w:rsidRPr="00577BFD">
        <w:rPr>
          <w:noProof w:val="0"/>
          <w:sz w:val="24"/>
          <w:lang w:eastAsia="zh-CN"/>
        </w:rPr>
        <w:t>Prague, Czech Republic, 9th – 13th October 2017</w:t>
      </w:r>
      <w:r w:rsidR="001C137C" w:rsidRPr="009D56B1">
        <w:rPr>
          <w:noProof w:val="0"/>
          <w:sz w:val="24"/>
          <w:lang w:eastAsia="zh-CN"/>
        </w:rPr>
        <w:tab/>
      </w:r>
    </w:p>
    <w:p w14:paraId="60EF47B0" w14:textId="77777777" w:rsidR="001C137C" w:rsidRPr="009D56B1" w:rsidRDefault="001C137C" w:rsidP="001C137C">
      <w:pPr>
        <w:pStyle w:val="Header"/>
        <w:rPr>
          <w:bCs/>
          <w:noProof w:val="0"/>
          <w:sz w:val="24"/>
          <w:lang w:eastAsia="ja-JP"/>
        </w:rPr>
      </w:pPr>
    </w:p>
    <w:p w14:paraId="60EF47B1" w14:textId="77777777"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10B7A">
        <w:rPr>
          <w:rFonts w:cs="Arial"/>
          <w:b/>
          <w:bCs/>
          <w:sz w:val="24"/>
          <w:lang w:val="en-US"/>
        </w:rPr>
        <w:t>9.10.2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65DE58F1"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826C94">
        <w:rPr>
          <w:rFonts w:ascii="Arial" w:hAnsi="Arial" w:cs="Arial"/>
          <w:b/>
          <w:bCs/>
          <w:sz w:val="24"/>
        </w:rPr>
        <w:t>Packet Duplication for CA based eV2X</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0EF47C0" w14:textId="76B3C37F" w:rsidR="001C137C" w:rsidRDefault="003830B8"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RAN1 has made the following agreements regarding CA use cases in RAN#90:</w:t>
      </w:r>
    </w:p>
    <w:tbl>
      <w:tblPr>
        <w:tblStyle w:val="TableGrid"/>
        <w:tblW w:w="0" w:type="auto"/>
        <w:tblLook w:val="04A0" w:firstRow="1" w:lastRow="0" w:firstColumn="1" w:lastColumn="0" w:noHBand="0" w:noVBand="1"/>
      </w:tblPr>
      <w:tblGrid>
        <w:gridCol w:w="9629"/>
      </w:tblGrid>
      <w:tr w:rsidR="003830B8" w14:paraId="64FDC1A0" w14:textId="77777777" w:rsidTr="003830B8">
        <w:tc>
          <w:tcPr>
            <w:tcW w:w="9629" w:type="dxa"/>
          </w:tcPr>
          <w:p w14:paraId="75FA0D49" w14:textId="77777777" w:rsidR="003830B8" w:rsidRDefault="003830B8" w:rsidP="003830B8">
            <w:pPr>
              <w:rPr>
                <w:rFonts w:eastAsia="MS Mincho"/>
                <w:iCs/>
                <w:lang w:eastAsia="ja-JP"/>
              </w:rPr>
            </w:pPr>
            <w:r w:rsidRPr="00050411">
              <w:rPr>
                <w:rFonts w:eastAsia="MS Mincho"/>
                <w:iCs/>
                <w:highlight w:val="green"/>
                <w:lang w:eastAsia="ja-JP"/>
              </w:rPr>
              <w:t>Agreement</w:t>
            </w:r>
            <w:r>
              <w:rPr>
                <w:rFonts w:eastAsia="MS Mincho"/>
                <w:iCs/>
                <w:lang w:eastAsia="ja-JP"/>
              </w:rPr>
              <w:t>:</w:t>
            </w:r>
          </w:p>
          <w:p w14:paraId="14DCAB86" w14:textId="77777777" w:rsidR="003830B8" w:rsidRPr="00050411" w:rsidRDefault="003830B8" w:rsidP="003830B8">
            <w:pPr>
              <w:numPr>
                <w:ilvl w:val="0"/>
                <w:numId w:val="11"/>
              </w:numPr>
              <w:spacing w:after="0" w:line="240" w:lineRule="auto"/>
              <w:rPr>
                <w:rFonts w:eastAsia="MS Mincho"/>
                <w:iCs/>
                <w:lang w:eastAsia="ja-JP"/>
              </w:rPr>
            </w:pPr>
            <w:r w:rsidRPr="00050411">
              <w:rPr>
                <w:rFonts w:eastAsia="MS Mincho"/>
                <w:iCs/>
                <w:lang w:eastAsia="ja-JP"/>
              </w:rPr>
              <w:t>For the three CA use cases identified in RAN1#89</w:t>
            </w:r>
          </w:p>
          <w:p w14:paraId="70ACECD9" w14:textId="77777777" w:rsidR="003830B8" w:rsidRPr="00050411" w:rsidRDefault="003830B8" w:rsidP="003830B8">
            <w:pPr>
              <w:numPr>
                <w:ilvl w:val="1"/>
                <w:numId w:val="11"/>
              </w:numPr>
              <w:spacing w:after="0" w:line="240" w:lineRule="auto"/>
              <w:rPr>
                <w:rFonts w:eastAsia="MS Mincho"/>
                <w:iCs/>
                <w:lang w:eastAsia="ja-JP"/>
              </w:rPr>
            </w:pPr>
            <w:r w:rsidRPr="00050411">
              <w:rPr>
                <w:rFonts w:eastAsia="MS Mincho"/>
                <w:iCs/>
                <w:lang w:eastAsia="ja-JP"/>
              </w:rPr>
              <w:t>First and third use case are prioritized in RAN1</w:t>
            </w:r>
            <w:r w:rsidRPr="00050411">
              <w:rPr>
                <w:rFonts w:eastAsia="MS Mincho"/>
                <w:i/>
                <w:iCs/>
                <w:lang w:eastAsia="ja-JP"/>
              </w:rPr>
              <w:t>.</w:t>
            </w:r>
          </w:p>
          <w:p w14:paraId="35073160" w14:textId="77777777" w:rsidR="003830B8" w:rsidRPr="00050411" w:rsidRDefault="003830B8" w:rsidP="003830B8">
            <w:pPr>
              <w:numPr>
                <w:ilvl w:val="1"/>
                <w:numId w:val="11"/>
              </w:numPr>
              <w:spacing w:after="0" w:line="240" w:lineRule="auto"/>
              <w:rPr>
                <w:rFonts w:eastAsia="MS Mincho"/>
                <w:iCs/>
                <w:lang w:eastAsia="ja-JP"/>
              </w:rPr>
            </w:pPr>
            <w:r w:rsidRPr="00050411">
              <w:rPr>
                <w:rFonts w:eastAsia="MS Mincho"/>
                <w:iCs/>
                <w:lang w:eastAsia="ja-JP"/>
              </w:rPr>
              <w:t>For the second case, packet duplication can be done at higher layers (up to RAN2 to decide).</w:t>
            </w:r>
          </w:p>
          <w:p w14:paraId="0318AEFD" w14:textId="250B5C35" w:rsidR="003830B8" w:rsidRPr="003830B8" w:rsidRDefault="003830B8" w:rsidP="003830B8">
            <w:pPr>
              <w:numPr>
                <w:ilvl w:val="0"/>
                <w:numId w:val="11"/>
              </w:numPr>
              <w:spacing w:after="0" w:line="240" w:lineRule="auto"/>
              <w:rPr>
                <w:rFonts w:eastAsia="MS Mincho"/>
                <w:iCs/>
                <w:lang w:eastAsia="ja-JP"/>
              </w:rPr>
            </w:pPr>
            <w:r w:rsidRPr="00050411">
              <w:rPr>
                <w:rFonts w:eastAsia="MS Mincho"/>
                <w:iCs/>
                <w:lang w:eastAsia="ja-JP"/>
              </w:rPr>
              <w:t xml:space="preserve">Send an LS to RAN2 to inform them of the decision. </w:t>
            </w:r>
          </w:p>
        </w:tc>
      </w:tr>
    </w:tbl>
    <w:p w14:paraId="3EA16B17" w14:textId="77777777" w:rsidR="00F117A5" w:rsidRDefault="00F117A5"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51961624" w14:textId="4BF0D6C6" w:rsidR="00F117A5" w:rsidRPr="001C137C" w:rsidRDefault="00F117A5"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contribution, we discuss use case 2 i.e. p</w:t>
      </w:r>
      <w:r w:rsidRPr="00F117A5">
        <w:rPr>
          <w:rFonts w:ascii="Times New Roman" w:hAnsi="Times New Roman"/>
          <w:sz w:val="20"/>
          <w:szCs w:val="20"/>
          <w:lang w:eastAsia="ja-JP"/>
        </w:rPr>
        <w:t>arallel transmission of replicated copies of the same packet (‘parallel’ means at the same or different transmission time, but on different carriers)</w:t>
      </w:r>
      <w:r>
        <w:rPr>
          <w:rFonts w:ascii="Times New Roman" w:hAnsi="Times New Roman"/>
          <w:sz w:val="20"/>
          <w:szCs w:val="20"/>
          <w:lang w:eastAsia="ja-JP"/>
        </w:rPr>
        <w:t xml:space="preserve"> and present our views.</w:t>
      </w:r>
    </w:p>
    <w:p w14:paraId="60EF47C1" w14:textId="77777777" w:rsidR="001C137C" w:rsidRDefault="006242D5" w:rsidP="00DA3465">
      <w:pPr>
        <w:pStyle w:val="Tdoc"/>
        <w:ind w:left="0" w:firstLine="0"/>
      </w:pPr>
      <w:r>
        <w:t>Discussion</w:t>
      </w:r>
    </w:p>
    <w:p w14:paraId="7E5DBD28" w14:textId="5F904D8A"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Support for Use Case 2</w:t>
      </w:r>
    </w:p>
    <w:p w14:paraId="60EF47C3" w14:textId="07286159" w:rsidR="006F53D1" w:rsidRDefault="00F117A5" w:rsidP="004A40AE">
      <w:pPr>
        <w:spacing w:before="240"/>
        <w:rPr>
          <w:rFonts w:ascii="Times New Roman" w:hAnsi="Times New Roman"/>
          <w:sz w:val="20"/>
        </w:rPr>
      </w:pPr>
      <w:r>
        <w:rPr>
          <w:rFonts w:ascii="Times New Roman" w:hAnsi="Times New Roman"/>
          <w:sz w:val="20"/>
        </w:rPr>
        <w:t xml:space="preserve">When discussing use case 2 </w:t>
      </w:r>
      <w:r w:rsidR="00D24C46">
        <w:rPr>
          <w:rFonts w:ascii="Times New Roman" w:hAnsi="Times New Roman"/>
          <w:sz w:val="20"/>
        </w:rPr>
        <w:t>f</w:t>
      </w:r>
      <w:r>
        <w:rPr>
          <w:rFonts w:ascii="Times New Roman" w:hAnsi="Times New Roman"/>
          <w:sz w:val="20"/>
        </w:rPr>
        <w:t>rom RAN2 point of view</w:t>
      </w:r>
      <w:r w:rsidR="00D24C46">
        <w:rPr>
          <w:rFonts w:ascii="Times New Roman" w:hAnsi="Times New Roman"/>
          <w:sz w:val="20"/>
        </w:rPr>
        <w:t xml:space="preserve">, the </w:t>
      </w:r>
      <w:r w:rsidR="006C15FA">
        <w:rPr>
          <w:rFonts w:ascii="Times New Roman" w:hAnsi="Times New Roman"/>
          <w:sz w:val="20"/>
        </w:rPr>
        <w:t>obvious</w:t>
      </w:r>
      <w:r w:rsidR="00D24C46">
        <w:rPr>
          <w:rFonts w:ascii="Times New Roman" w:hAnsi="Times New Roman"/>
          <w:sz w:val="20"/>
        </w:rPr>
        <w:t xml:space="preserve"> question is on the need for supporting </w:t>
      </w:r>
      <w:r w:rsidR="0009610B">
        <w:rPr>
          <w:rFonts w:ascii="Times New Roman" w:hAnsi="Times New Roman"/>
          <w:sz w:val="20"/>
        </w:rPr>
        <w:t>the aforementioned</w:t>
      </w:r>
      <w:r w:rsidR="00D24C46">
        <w:rPr>
          <w:rFonts w:ascii="Times New Roman" w:hAnsi="Times New Roman"/>
          <w:sz w:val="20"/>
        </w:rPr>
        <w:t xml:space="preserve"> packet duplication. </w:t>
      </w:r>
      <w:r w:rsidR="005D362E">
        <w:rPr>
          <w:rFonts w:ascii="Times New Roman" w:hAnsi="Times New Roman"/>
          <w:sz w:val="20"/>
        </w:rPr>
        <w:t xml:space="preserve">This aspect was touched upon </w:t>
      </w:r>
      <w:r w:rsidR="00C53590">
        <w:rPr>
          <w:rFonts w:ascii="Times New Roman" w:hAnsi="Times New Roman"/>
          <w:sz w:val="20"/>
        </w:rPr>
        <w:t xml:space="preserve">in </w:t>
      </w:r>
      <w:r w:rsidR="005D362E">
        <w:rPr>
          <w:rFonts w:ascii="Times New Roman" w:hAnsi="Times New Roman"/>
          <w:sz w:val="20"/>
        </w:rPr>
        <w:t>the last RAN2 meeting as well</w:t>
      </w:r>
      <w:r w:rsidR="0009610B">
        <w:rPr>
          <w:rFonts w:ascii="Times New Roman" w:hAnsi="Times New Roman"/>
          <w:sz w:val="20"/>
        </w:rPr>
        <w:t xml:space="preserve"> but no agreements were made</w:t>
      </w:r>
      <w:r w:rsidR="005D362E">
        <w:rPr>
          <w:rFonts w:ascii="Times New Roman" w:hAnsi="Times New Roman"/>
          <w:sz w:val="20"/>
        </w:rPr>
        <w:t xml:space="preserve">. </w:t>
      </w:r>
      <w:r w:rsidR="00D24C46">
        <w:rPr>
          <w:rFonts w:ascii="Times New Roman" w:hAnsi="Times New Roman"/>
          <w:sz w:val="20"/>
        </w:rPr>
        <w:t xml:space="preserve">From a technical viewpoint, the </w:t>
      </w:r>
      <w:r w:rsidR="005D362E">
        <w:rPr>
          <w:rFonts w:ascii="Times New Roman" w:hAnsi="Times New Roman"/>
          <w:sz w:val="20"/>
        </w:rPr>
        <w:t>main motivation</w:t>
      </w:r>
      <w:r w:rsidR="00D24C46">
        <w:rPr>
          <w:rFonts w:ascii="Times New Roman" w:hAnsi="Times New Roman"/>
          <w:sz w:val="20"/>
        </w:rPr>
        <w:t xml:space="preserve"> of utilizing carrier aggregation</w:t>
      </w:r>
      <w:r w:rsidR="006C222D">
        <w:rPr>
          <w:rFonts w:ascii="Times New Roman" w:hAnsi="Times New Roman"/>
          <w:sz w:val="20"/>
        </w:rPr>
        <w:t xml:space="preserve"> for this purpose</w:t>
      </w:r>
      <w:r w:rsidR="00D24C46">
        <w:rPr>
          <w:rFonts w:ascii="Times New Roman" w:hAnsi="Times New Roman"/>
          <w:sz w:val="20"/>
        </w:rPr>
        <w:t xml:space="preserve">, i.e. using different component carriers for transmitting </w:t>
      </w:r>
      <w:r w:rsidR="006C222D">
        <w:rPr>
          <w:rFonts w:ascii="Times New Roman" w:hAnsi="Times New Roman"/>
          <w:sz w:val="20"/>
        </w:rPr>
        <w:t>duplicated</w:t>
      </w:r>
      <w:r w:rsidR="00D24C46">
        <w:rPr>
          <w:rFonts w:ascii="Times New Roman" w:hAnsi="Times New Roman"/>
          <w:sz w:val="20"/>
        </w:rPr>
        <w:t xml:space="preserve"> packets </w:t>
      </w:r>
      <w:r w:rsidR="005D362E">
        <w:rPr>
          <w:rFonts w:ascii="Times New Roman" w:hAnsi="Times New Roman"/>
          <w:sz w:val="20"/>
        </w:rPr>
        <w:t>is to provide higher reliability</w:t>
      </w:r>
      <w:r w:rsidR="0009610B">
        <w:rPr>
          <w:rFonts w:ascii="Times New Roman" w:hAnsi="Times New Roman"/>
          <w:sz w:val="20"/>
        </w:rPr>
        <w:t>, specifically</w:t>
      </w:r>
      <w:r w:rsidR="005D362E">
        <w:rPr>
          <w:rFonts w:ascii="Times New Roman" w:hAnsi="Times New Roman"/>
          <w:sz w:val="20"/>
        </w:rPr>
        <w:t xml:space="preserve"> for different V2X use cases. This is </w:t>
      </w:r>
      <w:r w:rsidR="0053209F">
        <w:rPr>
          <w:rFonts w:ascii="Times New Roman" w:hAnsi="Times New Roman"/>
          <w:sz w:val="20"/>
        </w:rPr>
        <w:t>accomplished</w:t>
      </w:r>
      <w:r w:rsidR="005D362E">
        <w:rPr>
          <w:rFonts w:ascii="Times New Roman" w:hAnsi="Times New Roman"/>
          <w:sz w:val="20"/>
        </w:rPr>
        <w:t xml:space="preserve"> by redundant transmissions </w:t>
      </w:r>
      <w:r w:rsidR="0009610B">
        <w:rPr>
          <w:rFonts w:ascii="Times New Roman" w:hAnsi="Times New Roman"/>
          <w:sz w:val="20"/>
        </w:rPr>
        <w:t xml:space="preserve">of packets over different carriers </w:t>
      </w:r>
      <w:r w:rsidR="005D362E">
        <w:rPr>
          <w:rFonts w:ascii="Times New Roman" w:hAnsi="Times New Roman"/>
          <w:sz w:val="20"/>
        </w:rPr>
        <w:t xml:space="preserve">and could </w:t>
      </w:r>
      <w:r w:rsidR="0009610B">
        <w:rPr>
          <w:rFonts w:ascii="Times New Roman" w:hAnsi="Times New Roman"/>
          <w:sz w:val="20"/>
        </w:rPr>
        <w:t>prove</w:t>
      </w:r>
      <w:r w:rsidR="005D362E">
        <w:rPr>
          <w:rFonts w:ascii="Times New Roman" w:hAnsi="Times New Roman"/>
          <w:sz w:val="20"/>
        </w:rPr>
        <w:t xml:space="preserve"> useful for advanced </w:t>
      </w:r>
      <w:r w:rsidR="0009610B">
        <w:rPr>
          <w:rFonts w:ascii="Times New Roman" w:hAnsi="Times New Roman"/>
          <w:sz w:val="20"/>
        </w:rPr>
        <w:t xml:space="preserve">Rel-15 </w:t>
      </w:r>
      <w:r w:rsidR="005D362E">
        <w:rPr>
          <w:rFonts w:ascii="Times New Roman" w:hAnsi="Times New Roman"/>
          <w:sz w:val="20"/>
        </w:rPr>
        <w:t>V2X use cases</w:t>
      </w:r>
      <w:r w:rsidR="00C0460F">
        <w:rPr>
          <w:rFonts w:ascii="Times New Roman" w:hAnsi="Times New Roman"/>
          <w:sz w:val="20"/>
        </w:rPr>
        <w:t xml:space="preserve">. Some examples </w:t>
      </w:r>
      <w:r w:rsidR="001266F8">
        <w:rPr>
          <w:rFonts w:ascii="Times New Roman" w:hAnsi="Times New Roman"/>
          <w:sz w:val="20"/>
        </w:rPr>
        <w:t xml:space="preserve">where this duplicate transmission could prove useful </w:t>
      </w:r>
      <w:r w:rsidR="00C0460F">
        <w:rPr>
          <w:rFonts w:ascii="Times New Roman" w:hAnsi="Times New Roman"/>
          <w:sz w:val="20"/>
        </w:rPr>
        <w:t>include</w:t>
      </w:r>
      <w:r w:rsidR="001266F8">
        <w:rPr>
          <w:rFonts w:ascii="Times New Roman" w:hAnsi="Times New Roman"/>
          <w:sz w:val="20"/>
        </w:rPr>
        <w:t>s</w:t>
      </w:r>
      <w:r w:rsidR="00C0460F">
        <w:rPr>
          <w:rFonts w:ascii="Times New Roman" w:hAnsi="Times New Roman"/>
          <w:sz w:val="20"/>
        </w:rPr>
        <w:t xml:space="preserve"> </w:t>
      </w:r>
      <w:r w:rsidR="005D362E">
        <w:rPr>
          <w:rFonts w:ascii="Times New Roman" w:hAnsi="Times New Roman"/>
          <w:sz w:val="20"/>
        </w:rPr>
        <w:t xml:space="preserve">advanced driving and remote vehicle operation, </w:t>
      </w:r>
      <w:r w:rsidR="001266F8">
        <w:rPr>
          <w:rFonts w:ascii="Times New Roman" w:hAnsi="Times New Roman"/>
          <w:sz w:val="20"/>
        </w:rPr>
        <w:t xml:space="preserve">both of </w:t>
      </w:r>
      <w:r w:rsidR="005D362E">
        <w:rPr>
          <w:rFonts w:ascii="Times New Roman" w:hAnsi="Times New Roman"/>
          <w:sz w:val="20"/>
        </w:rPr>
        <w:t>which require very high reliability (up to 99.999%)</w:t>
      </w:r>
      <w:r w:rsidR="00C0460F">
        <w:rPr>
          <w:rFonts w:ascii="Times New Roman" w:hAnsi="Times New Roman"/>
          <w:sz w:val="20"/>
        </w:rPr>
        <w:t xml:space="preserve"> </w:t>
      </w:r>
      <w:sdt>
        <w:sdtPr>
          <w:rPr>
            <w:rFonts w:ascii="Times New Roman" w:hAnsi="Times New Roman"/>
            <w:sz w:val="20"/>
          </w:rPr>
          <w:id w:val="1020973581"/>
          <w:citation/>
        </w:sdtPr>
        <w:sdtEndPr/>
        <w:sdtContent>
          <w:r w:rsidR="0074639E">
            <w:rPr>
              <w:rFonts w:ascii="Times New Roman" w:hAnsi="Times New Roman"/>
              <w:sz w:val="20"/>
            </w:rPr>
            <w:fldChar w:fldCharType="begin"/>
          </w:r>
          <w:r w:rsidR="0074639E">
            <w:rPr>
              <w:rFonts w:ascii="Times New Roman" w:hAnsi="Times New Roman"/>
              <w:sz w:val="20"/>
            </w:rPr>
            <w:instrText xml:space="preserve"> CITATION TR22886 \l 1033 </w:instrText>
          </w:r>
          <w:r w:rsidR="0074639E">
            <w:rPr>
              <w:rFonts w:ascii="Times New Roman" w:hAnsi="Times New Roman"/>
              <w:sz w:val="20"/>
            </w:rPr>
            <w:fldChar w:fldCharType="separate"/>
          </w:r>
          <w:r w:rsidR="00D46932" w:rsidRPr="00D46932">
            <w:rPr>
              <w:rFonts w:ascii="Times New Roman" w:hAnsi="Times New Roman"/>
              <w:noProof/>
              <w:sz w:val="20"/>
            </w:rPr>
            <w:t>[1]</w:t>
          </w:r>
          <w:r w:rsidR="0074639E">
            <w:rPr>
              <w:rFonts w:ascii="Times New Roman" w:hAnsi="Times New Roman"/>
              <w:sz w:val="20"/>
            </w:rPr>
            <w:fldChar w:fldCharType="end"/>
          </w:r>
        </w:sdtContent>
      </w:sdt>
      <w:r w:rsidR="005D362E">
        <w:rPr>
          <w:rFonts w:ascii="Times New Roman" w:hAnsi="Times New Roman"/>
          <w:sz w:val="20"/>
        </w:rPr>
        <w:t xml:space="preserve">. </w:t>
      </w:r>
      <w:r w:rsidR="00914241">
        <w:rPr>
          <w:rFonts w:ascii="Times New Roman" w:hAnsi="Times New Roman"/>
          <w:sz w:val="20"/>
        </w:rPr>
        <w:t xml:space="preserve">We note that currently, there is no equivalent to ARQ over sidelink since only RLC UM is supported. Thus, the need for mechanisms to support higher reliability of packet delivery to the receiver is even more important, which can be fulfilled by performing packet duplication. </w:t>
      </w:r>
      <w:r w:rsidR="00C471C2" w:rsidRPr="00C471C2">
        <w:rPr>
          <w:rFonts w:ascii="Times New Roman" w:hAnsi="Times New Roman"/>
          <w:sz w:val="20"/>
        </w:rPr>
        <w:t xml:space="preserve">Depending on the V2X service type (and the corresponding reliability requirements), channel conditions </w:t>
      </w:r>
      <w:r w:rsidR="00C85BF2">
        <w:rPr>
          <w:rFonts w:ascii="Times New Roman" w:hAnsi="Times New Roman"/>
          <w:sz w:val="20"/>
        </w:rPr>
        <w:t>and other factors</w:t>
      </w:r>
      <w:r w:rsidR="00BD47AD">
        <w:rPr>
          <w:rFonts w:ascii="Times New Roman" w:hAnsi="Times New Roman"/>
          <w:sz w:val="20"/>
        </w:rPr>
        <w:t xml:space="preserve"> (which can be further discussed in RAN2)</w:t>
      </w:r>
      <w:r w:rsidR="00C85BF2">
        <w:rPr>
          <w:rFonts w:ascii="Times New Roman" w:hAnsi="Times New Roman"/>
          <w:sz w:val="20"/>
        </w:rPr>
        <w:t xml:space="preserve">, </w:t>
      </w:r>
      <w:r w:rsidR="00C0460F">
        <w:rPr>
          <w:rFonts w:ascii="Times New Roman" w:hAnsi="Times New Roman"/>
          <w:sz w:val="20"/>
        </w:rPr>
        <w:t xml:space="preserve">the </w:t>
      </w:r>
      <w:r w:rsidR="00C85BF2">
        <w:rPr>
          <w:rFonts w:ascii="Times New Roman" w:hAnsi="Times New Roman"/>
          <w:sz w:val="20"/>
        </w:rPr>
        <w:t xml:space="preserve">network can </w:t>
      </w:r>
      <w:r w:rsidR="00C0460F">
        <w:rPr>
          <w:rFonts w:ascii="Times New Roman" w:hAnsi="Times New Roman"/>
          <w:sz w:val="20"/>
        </w:rPr>
        <w:t>configure the UE to enable or disable</w:t>
      </w:r>
      <w:r w:rsidR="00C85BF2">
        <w:rPr>
          <w:rFonts w:ascii="Times New Roman" w:hAnsi="Times New Roman"/>
          <w:sz w:val="20"/>
        </w:rPr>
        <w:t xml:space="preserve"> packet duplication to allow for reliable transmission. This can also ensure that the overall </w:t>
      </w:r>
      <w:r w:rsidR="00BD47AD">
        <w:rPr>
          <w:rFonts w:ascii="Times New Roman" w:hAnsi="Times New Roman"/>
          <w:sz w:val="20"/>
        </w:rPr>
        <w:t xml:space="preserve">impact on </w:t>
      </w:r>
      <w:r w:rsidR="00C85BF2">
        <w:rPr>
          <w:rFonts w:ascii="Times New Roman" w:hAnsi="Times New Roman"/>
          <w:sz w:val="20"/>
        </w:rPr>
        <w:t xml:space="preserve">capacity is </w:t>
      </w:r>
      <w:r w:rsidR="00BD47AD">
        <w:rPr>
          <w:rFonts w:ascii="Times New Roman" w:hAnsi="Times New Roman"/>
          <w:sz w:val="20"/>
        </w:rPr>
        <w:t>minimal</w:t>
      </w:r>
      <w:r w:rsidR="00C0460F">
        <w:rPr>
          <w:rFonts w:ascii="Times New Roman" w:hAnsi="Times New Roman"/>
          <w:sz w:val="20"/>
        </w:rPr>
        <w:t xml:space="preserve"> and under network control</w:t>
      </w:r>
      <w:r w:rsidR="00C85BF2">
        <w:rPr>
          <w:rFonts w:ascii="Times New Roman" w:hAnsi="Times New Roman"/>
          <w:sz w:val="20"/>
        </w:rPr>
        <w:t xml:space="preserve">. </w:t>
      </w:r>
      <w:r w:rsidR="00DE5114">
        <w:rPr>
          <w:rFonts w:ascii="Times New Roman" w:hAnsi="Times New Roman"/>
          <w:sz w:val="20"/>
        </w:rPr>
        <w:t>Additionally, t</w:t>
      </w:r>
      <w:r w:rsidR="00C85BF2">
        <w:rPr>
          <w:rFonts w:ascii="Times New Roman" w:hAnsi="Times New Roman"/>
          <w:sz w:val="20"/>
        </w:rPr>
        <w:t>he applicability of use ca</w:t>
      </w:r>
      <w:r w:rsidR="0098432E">
        <w:rPr>
          <w:rFonts w:ascii="Times New Roman" w:hAnsi="Times New Roman"/>
          <w:sz w:val="20"/>
        </w:rPr>
        <w:t>se 2 for both Mode 3 and 4 UEs should also be discussed in RAN2.</w:t>
      </w:r>
    </w:p>
    <w:p w14:paraId="28D47D9A" w14:textId="706BC77C" w:rsidR="001F5F0A" w:rsidRDefault="001F5F0A" w:rsidP="001F5F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Use case 2 (packet duplication over different CCs) should be </w:t>
      </w:r>
      <w:r w:rsidR="00FA12E6">
        <w:rPr>
          <w:rFonts w:ascii="Times New Roman" w:eastAsia="Times New Roman" w:hAnsi="Times New Roman"/>
          <w:bCs/>
          <w:i/>
          <w:sz w:val="20"/>
          <w:szCs w:val="20"/>
          <w:lang w:val="en-GB" w:eastAsia="zh-CN"/>
        </w:rPr>
        <w:t>supported</w:t>
      </w:r>
      <w:r>
        <w:rPr>
          <w:rFonts w:ascii="Times New Roman" w:eastAsia="Times New Roman" w:hAnsi="Times New Roman"/>
          <w:bCs/>
          <w:i/>
          <w:sz w:val="20"/>
          <w:szCs w:val="20"/>
          <w:lang w:val="en-GB" w:eastAsia="zh-CN"/>
        </w:rPr>
        <w:t xml:space="preserve"> for Rel-15 V2X</w:t>
      </w:r>
      <w:r w:rsidR="00283702">
        <w:rPr>
          <w:rFonts w:ascii="Times New Roman" w:eastAsia="Times New Roman" w:hAnsi="Times New Roman"/>
          <w:bCs/>
          <w:i/>
          <w:sz w:val="20"/>
          <w:szCs w:val="20"/>
          <w:lang w:val="en-GB" w:eastAsia="zh-CN"/>
        </w:rPr>
        <w:t xml:space="preserve"> CA</w:t>
      </w:r>
    </w:p>
    <w:p w14:paraId="7AE34C37" w14:textId="71DE4977" w:rsidR="001F5F0A" w:rsidRPr="004F316F" w:rsidRDefault="001F5F0A" w:rsidP="001F5F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It is up to the network to configure when the UE should perform packet duplication for CA to ensure</w:t>
      </w:r>
      <w:r w:rsidR="00692413">
        <w:rPr>
          <w:rFonts w:ascii="Times New Roman" w:eastAsia="Times New Roman" w:hAnsi="Times New Roman"/>
          <w:bCs/>
          <w:i/>
          <w:sz w:val="20"/>
          <w:szCs w:val="20"/>
          <w:lang w:val="en-GB" w:eastAsia="zh-CN"/>
        </w:rPr>
        <w:t xml:space="preserve"> reliable transmission</w:t>
      </w:r>
    </w:p>
    <w:p w14:paraId="54A96BD8" w14:textId="144FF46A"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lastRenderedPageBreak/>
        <w:t>2.2</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Packet duplication layer</w:t>
      </w:r>
    </w:p>
    <w:p w14:paraId="34469FB0" w14:textId="332B4396" w:rsidR="0097023E" w:rsidRDefault="0097023E" w:rsidP="004A40AE">
      <w:pPr>
        <w:spacing w:before="240"/>
        <w:rPr>
          <w:rFonts w:ascii="Times New Roman" w:hAnsi="Times New Roman"/>
          <w:sz w:val="20"/>
        </w:rPr>
      </w:pPr>
      <w:r>
        <w:rPr>
          <w:rFonts w:ascii="Times New Roman" w:hAnsi="Times New Roman"/>
          <w:sz w:val="20"/>
        </w:rPr>
        <w:t xml:space="preserve">If use case 2 is supported for Rel-15 V2X, the next question that arises </w:t>
      </w:r>
      <w:r w:rsidR="005D58A9">
        <w:rPr>
          <w:rFonts w:ascii="Times New Roman" w:hAnsi="Times New Roman"/>
          <w:sz w:val="20"/>
        </w:rPr>
        <w:t xml:space="preserve">is </w:t>
      </w:r>
      <w:r>
        <w:rPr>
          <w:rFonts w:ascii="Times New Roman" w:hAnsi="Times New Roman"/>
          <w:sz w:val="20"/>
        </w:rPr>
        <w:t>which layer to perform such duplication on.</w:t>
      </w:r>
      <w:r w:rsidR="000A1656">
        <w:rPr>
          <w:rFonts w:ascii="Times New Roman" w:hAnsi="Times New Roman"/>
          <w:sz w:val="20"/>
        </w:rPr>
        <w:t xml:space="preserve"> So far, the more common options to consider are the PDCP and the MAC layer. However, before d</w:t>
      </w:r>
      <w:r w:rsidR="00C16FDF">
        <w:rPr>
          <w:rFonts w:ascii="Times New Roman" w:hAnsi="Times New Roman"/>
          <w:sz w:val="20"/>
        </w:rPr>
        <w:t>i</w:t>
      </w:r>
      <w:r w:rsidR="000A1656">
        <w:rPr>
          <w:rFonts w:ascii="Times New Roman" w:hAnsi="Times New Roman"/>
          <w:sz w:val="20"/>
        </w:rPr>
        <w:t xml:space="preserve">ving into the pros and cons for these options, we should address the issue of whether we should have this discussion now or later. </w:t>
      </w:r>
      <w:r w:rsidR="004761DB">
        <w:rPr>
          <w:rFonts w:ascii="Times New Roman" w:hAnsi="Times New Roman"/>
          <w:sz w:val="20"/>
        </w:rPr>
        <w:t xml:space="preserve">At RAN2#99, some proposed </w:t>
      </w:r>
      <w:r w:rsidR="000A1656">
        <w:rPr>
          <w:rFonts w:ascii="Times New Roman" w:hAnsi="Times New Roman"/>
          <w:sz w:val="20"/>
        </w:rPr>
        <w:t>that we should wait fo</w:t>
      </w:r>
      <w:r w:rsidR="00456DE3">
        <w:rPr>
          <w:rFonts w:ascii="Times New Roman" w:hAnsi="Times New Roman"/>
          <w:sz w:val="20"/>
        </w:rPr>
        <w:t xml:space="preserve">r the completion of the LTE </w:t>
      </w:r>
      <w:r w:rsidR="003C6BF7">
        <w:rPr>
          <w:rFonts w:ascii="Times New Roman" w:hAnsi="Times New Roman"/>
          <w:sz w:val="20"/>
        </w:rPr>
        <w:t>H</w:t>
      </w:r>
      <w:r w:rsidR="00456DE3">
        <w:rPr>
          <w:rFonts w:ascii="Times New Roman" w:hAnsi="Times New Roman"/>
          <w:sz w:val="20"/>
        </w:rPr>
        <w:t>RL</w:t>
      </w:r>
      <w:r w:rsidR="000A1656">
        <w:rPr>
          <w:rFonts w:ascii="Times New Roman" w:hAnsi="Times New Roman"/>
          <w:sz w:val="20"/>
        </w:rPr>
        <w:t>L</w:t>
      </w:r>
      <w:r w:rsidR="00456DE3">
        <w:rPr>
          <w:rFonts w:ascii="Times New Roman" w:hAnsi="Times New Roman"/>
          <w:sz w:val="20"/>
        </w:rPr>
        <w:t>C</w:t>
      </w:r>
      <w:r w:rsidR="000A1656">
        <w:rPr>
          <w:rFonts w:ascii="Times New Roman" w:hAnsi="Times New Roman"/>
          <w:sz w:val="20"/>
        </w:rPr>
        <w:t xml:space="preserve"> WI, which is set to conclude </w:t>
      </w:r>
      <w:r w:rsidR="003C6BF7">
        <w:rPr>
          <w:rFonts w:ascii="Times New Roman" w:hAnsi="Times New Roman"/>
          <w:sz w:val="20"/>
        </w:rPr>
        <w:t>in</w:t>
      </w:r>
      <w:r w:rsidR="00C471C2">
        <w:rPr>
          <w:rFonts w:ascii="Times New Roman" w:hAnsi="Times New Roman"/>
          <w:sz w:val="20"/>
        </w:rPr>
        <w:t xml:space="preserve"> </w:t>
      </w:r>
      <w:r w:rsidR="003C6BF7">
        <w:rPr>
          <w:rFonts w:ascii="Times New Roman" w:hAnsi="Times New Roman"/>
          <w:sz w:val="20"/>
        </w:rPr>
        <w:t>June 2018</w:t>
      </w:r>
      <w:r w:rsidR="000A1656">
        <w:rPr>
          <w:rFonts w:ascii="Times New Roman" w:hAnsi="Times New Roman"/>
          <w:sz w:val="20"/>
        </w:rPr>
        <w:t xml:space="preserve"> </w:t>
      </w:r>
      <w:sdt>
        <w:sdtPr>
          <w:rPr>
            <w:rFonts w:ascii="Times New Roman" w:hAnsi="Times New Roman"/>
            <w:sz w:val="20"/>
          </w:rPr>
          <w:id w:val="-2136861166"/>
          <w:citation/>
        </w:sdtPr>
        <w:sdtEndPr/>
        <w:sdtContent>
          <w:r w:rsidR="0074639E">
            <w:rPr>
              <w:rFonts w:ascii="Times New Roman" w:hAnsi="Times New Roman"/>
              <w:sz w:val="20"/>
            </w:rPr>
            <w:fldChar w:fldCharType="begin"/>
          </w:r>
          <w:r w:rsidR="0074639E">
            <w:rPr>
              <w:rFonts w:ascii="Times New Roman" w:hAnsi="Times New Roman"/>
              <w:sz w:val="20"/>
            </w:rPr>
            <w:instrText xml:space="preserve"> CITATION eV2x \l 1033 </w:instrText>
          </w:r>
          <w:r w:rsidR="0074639E">
            <w:rPr>
              <w:rFonts w:ascii="Times New Roman" w:hAnsi="Times New Roman"/>
              <w:sz w:val="20"/>
            </w:rPr>
            <w:fldChar w:fldCharType="separate"/>
          </w:r>
          <w:r w:rsidR="00D46932" w:rsidRPr="00D46932">
            <w:rPr>
              <w:rFonts w:ascii="Times New Roman" w:hAnsi="Times New Roman"/>
              <w:noProof/>
              <w:sz w:val="20"/>
            </w:rPr>
            <w:t>[2]</w:t>
          </w:r>
          <w:r w:rsidR="0074639E">
            <w:rPr>
              <w:rFonts w:ascii="Times New Roman" w:hAnsi="Times New Roman"/>
              <w:sz w:val="20"/>
            </w:rPr>
            <w:fldChar w:fldCharType="end"/>
          </w:r>
        </w:sdtContent>
      </w:sdt>
      <w:r w:rsidR="000A1656">
        <w:rPr>
          <w:rFonts w:ascii="Times New Roman" w:hAnsi="Times New Roman"/>
          <w:sz w:val="20"/>
        </w:rPr>
        <w:t xml:space="preserve">. In our view, if </w:t>
      </w:r>
      <w:r w:rsidR="00FA3E42">
        <w:rPr>
          <w:rFonts w:ascii="Times New Roman" w:hAnsi="Times New Roman"/>
          <w:sz w:val="20"/>
        </w:rPr>
        <w:t>the need for</w:t>
      </w:r>
      <w:r w:rsidR="000A1656">
        <w:rPr>
          <w:rFonts w:ascii="Times New Roman" w:hAnsi="Times New Roman"/>
          <w:sz w:val="20"/>
        </w:rPr>
        <w:t xml:space="preserve"> supporting packet duplication for CA in LTE</w:t>
      </w:r>
      <w:r w:rsidR="00FA3E42">
        <w:rPr>
          <w:rFonts w:ascii="Times New Roman" w:hAnsi="Times New Roman"/>
          <w:sz w:val="20"/>
        </w:rPr>
        <w:t xml:space="preserve"> V2X is justified</w:t>
      </w:r>
      <w:r w:rsidR="00FE7781">
        <w:rPr>
          <w:rFonts w:ascii="Times New Roman" w:hAnsi="Times New Roman"/>
          <w:sz w:val="20"/>
        </w:rPr>
        <w:t xml:space="preserve"> in RAN2</w:t>
      </w:r>
      <w:r w:rsidR="000A1656">
        <w:rPr>
          <w:rFonts w:ascii="Times New Roman" w:hAnsi="Times New Roman"/>
          <w:sz w:val="20"/>
        </w:rPr>
        <w:t xml:space="preserve">, we should also have a discussion on which layer </w:t>
      </w:r>
      <w:r w:rsidR="005E4641">
        <w:rPr>
          <w:rFonts w:ascii="Times New Roman" w:hAnsi="Times New Roman"/>
          <w:sz w:val="20"/>
        </w:rPr>
        <w:t>should</w:t>
      </w:r>
      <w:r w:rsidR="000A1656">
        <w:rPr>
          <w:rFonts w:ascii="Times New Roman" w:hAnsi="Times New Roman"/>
          <w:sz w:val="20"/>
        </w:rPr>
        <w:t xml:space="preserve"> perform the duplication</w:t>
      </w:r>
      <w:r w:rsidR="00FA3E42">
        <w:rPr>
          <w:rFonts w:ascii="Times New Roman" w:hAnsi="Times New Roman"/>
          <w:sz w:val="20"/>
        </w:rPr>
        <w:t>, since they are closely and indubitably linked</w:t>
      </w:r>
      <w:r w:rsidR="000A1656">
        <w:rPr>
          <w:rFonts w:ascii="Times New Roman" w:hAnsi="Times New Roman"/>
          <w:sz w:val="20"/>
        </w:rPr>
        <w:t xml:space="preserve">. It does not make much sense to wait for another WI </w:t>
      </w:r>
      <w:r w:rsidR="00CD3B95">
        <w:rPr>
          <w:rFonts w:ascii="Times New Roman" w:hAnsi="Times New Roman"/>
          <w:sz w:val="20"/>
        </w:rPr>
        <w:t>to complete</w:t>
      </w:r>
      <w:r w:rsidR="000A1656">
        <w:rPr>
          <w:rFonts w:ascii="Times New Roman" w:hAnsi="Times New Roman"/>
          <w:sz w:val="20"/>
        </w:rPr>
        <w:t xml:space="preserve"> and hold off </w:t>
      </w:r>
      <w:r w:rsidR="00D8472B">
        <w:rPr>
          <w:rFonts w:ascii="Times New Roman" w:hAnsi="Times New Roman"/>
          <w:sz w:val="20"/>
        </w:rPr>
        <w:t>discussion</w:t>
      </w:r>
      <w:r w:rsidR="000A1656">
        <w:rPr>
          <w:rFonts w:ascii="Times New Roman" w:hAnsi="Times New Roman"/>
          <w:sz w:val="20"/>
        </w:rPr>
        <w:t xml:space="preserve"> on this issue until that time. </w:t>
      </w:r>
    </w:p>
    <w:p w14:paraId="2B41F85A" w14:textId="7CFF2375" w:rsidR="00A1246A" w:rsidRDefault="00175FAB" w:rsidP="0097023E">
      <w:pPr>
        <w:rPr>
          <w:rFonts w:ascii="Times New Roman" w:hAnsi="Times New Roman"/>
          <w:sz w:val="20"/>
        </w:rPr>
      </w:pPr>
      <w:r>
        <w:rPr>
          <w:rFonts w:ascii="Times New Roman" w:hAnsi="Times New Roman"/>
          <w:sz w:val="20"/>
        </w:rPr>
        <w:t>Regarding the suitable layer for performing said duplication, both options seem to have their merits. PDCP duplication has been agreed for NR</w:t>
      </w:r>
      <w:r w:rsidR="00247EAA">
        <w:rPr>
          <w:rFonts w:ascii="Times New Roman" w:hAnsi="Times New Roman"/>
          <w:sz w:val="20"/>
        </w:rPr>
        <w:t xml:space="preserve"> CA case. Since Rel-15 </w:t>
      </w:r>
      <w:r w:rsidR="00C7137F">
        <w:rPr>
          <w:rFonts w:ascii="Times New Roman" w:hAnsi="Times New Roman"/>
          <w:sz w:val="20"/>
        </w:rPr>
        <w:t>e</w:t>
      </w:r>
      <w:r w:rsidR="00247EAA">
        <w:rPr>
          <w:rFonts w:ascii="Times New Roman" w:hAnsi="Times New Roman"/>
          <w:sz w:val="20"/>
        </w:rPr>
        <w:t>V2X</w:t>
      </w:r>
      <w:r w:rsidR="00EC1779">
        <w:rPr>
          <w:rFonts w:ascii="Times New Roman" w:hAnsi="Times New Roman"/>
          <w:sz w:val="20"/>
        </w:rPr>
        <w:t xml:space="preserve"> i.e. V2X Phase 2 can be viewed as a</w:t>
      </w:r>
      <w:r w:rsidR="00F14223">
        <w:rPr>
          <w:rFonts w:ascii="Times New Roman" w:hAnsi="Times New Roman"/>
          <w:sz w:val="20"/>
        </w:rPr>
        <w:t>n</w:t>
      </w:r>
      <w:r w:rsidR="00EC1779">
        <w:rPr>
          <w:rFonts w:ascii="Times New Roman" w:hAnsi="Times New Roman"/>
          <w:sz w:val="20"/>
        </w:rPr>
        <w:t xml:space="preserve"> intermediate between LTE V2X and NR V2X, it makes </w:t>
      </w:r>
      <w:r w:rsidR="004E0FA3">
        <w:rPr>
          <w:rFonts w:ascii="Times New Roman" w:hAnsi="Times New Roman"/>
          <w:sz w:val="20"/>
        </w:rPr>
        <w:t xml:space="preserve">some </w:t>
      </w:r>
      <w:r w:rsidR="00EC1779">
        <w:rPr>
          <w:rFonts w:ascii="Times New Roman" w:hAnsi="Times New Roman"/>
          <w:sz w:val="20"/>
        </w:rPr>
        <w:t xml:space="preserve">logical sense to support PDCP duplication over sidelink, which can carry over to V2X Phase 3 and ensure commonality with NR CA. </w:t>
      </w:r>
      <w:r w:rsidR="001E5E85">
        <w:rPr>
          <w:rFonts w:ascii="Times New Roman" w:hAnsi="Times New Roman"/>
          <w:sz w:val="20"/>
        </w:rPr>
        <w:t xml:space="preserve">Additionally, duplication over PDCP allows for greater flexibility in terms of service dependent duplication, whereby </w:t>
      </w:r>
      <w:r w:rsidR="00E172AB">
        <w:rPr>
          <w:rFonts w:ascii="Times New Roman" w:hAnsi="Times New Roman"/>
          <w:sz w:val="20"/>
        </w:rPr>
        <w:t xml:space="preserve">the UE can perform this duplication based on network configured criteria and have minimal impact on lower layer operation. On the other hand, </w:t>
      </w:r>
      <w:r w:rsidR="009E3B6E">
        <w:rPr>
          <w:rFonts w:ascii="Times New Roman" w:hAnsi="Times New Roman"/>
          <w:sz w:val="20"/>
        </w:rPr>
        <w:t xml:space="preserve">one can argue that </w:t>
      </w:r>
      <w:r w:rsidR="00E172AB">
        <w:rPr>
          <w:rFonts w:ascii="Times New Roman" w:hAnsi="Times New Roman"/>
          <w:sz w:val="20"/>
        </w:rPr>
        <w:t xml:space="preserve">performing this duplication on the MAC layer would be </w:t>
      </w:r>
      <w:r w:rsidR="009E3B6E">
        <w:rPr>
          <w:rFonts w:ascii="Times New Roman" w:hAnsi="Times New Roman"/>
          <w:sz w:val="20"/>
        </w:rPr>
        <w:t xml:space="preserve">useful, </w:t>
      </w:r>
      <w:r w:rsidR="00E172AB">
        <w:rPr>
          <w:rFonts w:ascii="Times New Roman" w:hAnsi="Times New Roman"/>
          <w:sz w:val="20"/>
        </w:rPr>
        <w:t xml:space="preserve">since MAC layer can already </w:t>
      </w:r>
      <w:r w:rsidR="00401BF6">
        <w:rPr>
          <w:rFonts w:ascii="Times New Roman" w:hAnsi="Times New Roman"/>
          <w:sz w:val="20"/>
        </w:rPr>
        <w:t xml:space="preserve">distinguish between new and duplicated packets and no additional signaling would be needed in that case. Also, in general, performing duplication operation in the lower layers </w:t>
      </w:r>
      <w:r w:rsidR="00874674">
        <w:rPr>
          <w:rFonts w:ascii="Times New Roman" w:hAnsi="Times New Roman"/>
          <w:sz w:val="20"/>
        </w:rPr>
        <w:t>would mean</w:t>
      </w:r>
      <w:r w:rsidR="00401BF6">
        <w:rPr>
          <w:rFonts w:ascii="Times New Roman" w:hAnsi="Times New Roman"/>
          <w:sz w:val="20"/>
        </w:rPr>
        <w:t xml:space="preserve"> faster retransmissions in case of packet loss, the</w:t>
      </w:r>
      <w:r w:rsidR="003F13B0">
        <w:rPr>
          <w:rFonts w:ascii="Times New Roman" w:hAnsi="Times New Roman"/>
          <w:sz w:val="20"/>
        </w:rPr>
        <w:t>reby reducing latency. However,</w:t>
      </w:r>
      <w:r w:rsidR="00A1246A">
        <w:rPr>
          <w:rFonts w:ascii="Times New Roman" w:hAnsi="Times New Roman"/>
          <w:sz w:val="20"/>
        </w:rPr>
        <w:t xml:space="preserve"> </w:t>
      </w:r>
      <w:r w:rsidR="003F13B0">
        <w:rPr>
          <w:rFonts w:ascii="Times New Roman" w:hAnsi="Times New Roman"/>
          <w:sz w:val="20"/>
        </w:rPr>
        <w:t xml:space="preserve">by </w:t>
      </w:r>
      <w:r w:rsidR="00A1246A">
        <w:rPr>
          <w:rFonts w:ascii="Times New Roman" w:hAnsi="Times New Roman"/>
          <w:sz w:val="20"/>
        </w:rPr>
        <w:t>introducing such duplication at the MAC layer, the Rel-14 logical channel prioritization procedure would need to be enhanced to take that into account</w:t>
      </w:r>
      <w:r w:rsidR="00523205">
        <w:rPr>
          <w:rFonts w:ascii="Times New Roman" w:hAnsi="Times New Roman"/>
          <w:sz w:val="20"/>
        </w:rPr>
        <w:t>, in terms of dealing with duplicate and new packets belonging to the same logical channel</w:t>
      </w:r>
      <w:r w:rsidR="00A1246A">
        <w:rPr>
          <w:rFonts w:ascii="Times New Roman" w:hAnsi="Times New Roman"/>
          <w:sz w:val="20"/>
        </w:rPr>
        <w:t xml:space="preserve">. So, while both options seem viable for supporting packet duplication, we </w:t>
      </w:r>
      <w:r w:rsidR="00874674">
        <w:rPr>
          <w:rFonts w:ascii="Times New Roman" w:hAnsi="Times New Roman"/>
          <w:sz w:val="20"/>
        </w:rPr>
        <w:t>prefer</w:t>
      </w:r>
      <w:r w:rsidR="00A1246A">
        <w:rPr>
          <w:rFonts w:ascii="Times New Roman" w:hAnsi="Times New Roman"/>
          <w:sz w:val="20"/>
        </w:rPr>
        <w:t xml:space="preserve"> that </w:t>
      </w:r>
      <w:r w:rsidR="00874674">
        <w:rPr>
          <w:rFonts w:ascii="Times New Roman" w:hAnsi="Times New Roman"/>
          <w:sz w:val="20"/>
        </w:rPr>
        <w:t>packet duplication for CA use case 2 is performed at the PDCP layer</w:t>
      </w:r>
      <w:r w:rsidR="00A1246A">
        <w:rPr>
          <w:rFonts w:ascii="Times New Roman" w:hAnsi="Times New Roman"/>
          <w:sz w:val="20"/>
        </w:rPr>
        <w:t xml:space="preserve"> since it has a smaller impact on overall Rel-14 </w:t>
      </w:r>
      <w:r w:rsidR="00901C24">
        <w:rPr>
          <w:rFonts w:ascii="Times New Roman" w:hAnsi="Times New Roman"/>
          <w:sz w:val="20"/>
        </w:rPr>
        <w:t xml:space="preserve">MAC layer </w:t>
      </w:r>
      <w:r w:rsidR="00A1246A">
        <w:rPr>
          <w:rFonts w:ascii="Times New Roman" w:hAnsi="Times New Roman"/>
          <w:sz w:val="20"/>
        </w:rPr>
        <w:t>operation</w:t>
      </w:r>
      <w:r w:rsidR="009B1181">
        <w:rPr>
          <w:rFonts w:ascii="Times New Roman" w:hAnsi="Times New Roman"/>
          <w:sz w:val="20"/>
        </w:rPr>
        <w:t xml:space="preserve">, </w:t>
      </w:r>
      <w:r w:rsidR="00A1246A">
        <w:rPr>
          <w:rFonts w:ascii="Times New Roman" w:hAnsi="Times New Roman"/>
          <w:sz w:val="20"/>
        </w:rPr>
        <w:t>maintains forward compatibility with NR CA</w:t>
      </w:r>
      <w:r w:rsidR="009B1181">
        <w:rPr>
          <w:rFonts w:ascii="Times New Roman" w:hAnsi="Times New Roman"/>
          <w:sz w:val="20"/>
        </w:rPr>
        <w:t xml:space="preserve"> and is in line with the HRLLC WI objectives for data duplication on PDCP.</w:t>
      </w:r>
    </w:p>
    <w:p w14:paraId="475C7032" w14:textId="23480A7C" w:rsidR="00FA12E6" w:rsidRDefault="00FA12E6" w:rsidP="00FA12E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9D6F7D">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PDCP layer duplication should be adopted for PC5 CA in order to support use case 2.</w:t>
      </w:r>
    </w:p>
    <w:p w14:paraId="152B34B8" w14:textId="77777777" w:rsidR="00FA12E6" w:rsidRDefault="00FA12E6" w:rsidP="0097023E">
      <w:pPr>
        <w:ind w:left="1170" w:hanging="1170"/>
        <w:rPr>
          <w:rFonts w:ascii="Times New Roman" w:eastAsia="Times New Roman" w:hAnsi="Times New Roman"/>
          <w:bCs/>
          <w:i/>
          <w:sz w:val="20"/>
          <w:szCs w:val="20"/>
          <w:lang w:val="en-GB" w:eastAsia="zh-CN"/>
        </w:rPr>
      </w:pPr>
    </w:p>
    <w:p w14:paraId="60EF47DF" w14:textId="0E3B805E" w:rsidR="008669B1" w:rsidRDefault="008669B1" w:rsidP="004A4A78">
      <w:pPr>
        <w:pStyle w:val="Tdoc"/>
        <w:ind w:left="-90" w:firstLine="0"/>
      </w:pPr>
      <w:r w:rsidRPr="00E0063E">
        <w:t>Conclusion</w:t>
      </w:r>
    </w:p>
    <w:p w14:paraId="250D672A" w14:textId="5C92C15B" w:rsidR="006D136D" w:rsidRDefault="00043F8C" w:rsidP="006D136D">
      <w:pPr>
        <w:rPr>
          <w:rFonts w:ascii="Times New Roman" w:hAnsi="Times New Roman"/>
          <w:sz w:val="20"/>
        </w:rPr>
      </w:pPr>
      <w:r>
        <w:rPr>
          <w:rFonts w:ascii="Times New Roman" w:hAnsi="Times New Roman"/>
          <w:sz w:val="20"/>
        </w:rPr>
        <w:t xml:space="preserve">This contribution discusses </w:t>
      </w:r>
      <w:r w:rsidR="00295334">
        <w:rPr>
          <w:rFonts w:ascii="Times New Roman" w:hAnsi="Times New Roman"/>
          <w:sz w:val="20"/>
        </w:rPr>
        <w:t xml:space="preserve">the aspect of supporting packet duplication for </w:t>
      </w:r>
      <w:r>
        <w:rPr>
          <w:rFonts w:ascii="Times New Roman" w:hAnsi="Times New Roman"/>
          <w:sz w:val="20"/>
        </w:rPr>
        <w:t xml:space="preserve">carrier aggregation over sidelink and makes the following proposals: </w:t>
      </w:r>
    </w:p>
    <w:p w14:paraId="052CD099" w14:textId="77777777" w:rsidR="0074639E" w:rsidRDefault="0074639E" w:rsidP="0074639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Use case 2 (packet duplication over different CCs) should be supported for Rel-15 V2X CA</w:t>
      </w:r>
    </w:p>
    <w:p w14:paraId="1594CA69" w14:textId="701A50AA" w:rsidR="0074639E" w:rsidRDefault="0074639E" w:rsidP="0074639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It is up to the network to configure when the UE should perform packet duplication for CA to ensure reliable transmission</w:t>
      </w:r>
    </w:p>
    <w:p w14:paraId="0510AA50" w14:textId="3C956DF0" w:rsidR="00295334" w:rsidRPr="0074639E" w:rsidRDefault="0074639E" w:rsidP="0074639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9D6F7D">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PDCP layer duplication should be adopted for PC5 CA in order to support use case 2.</w:t>
      </w:r>
    </w:p>
    <w:p w14:paraId="60EF47F2" w14:textId="5A59892A" w:rsidR="008669B1" w:rsidRDefault="006D136D" w:rsidP="00DA3465">
      <w:pPr>
        <w:pStyle w:val="Tdoc"/>
        <w:ind w:left="-90" w:firstLine="0"/>
      </w:pPr>
      <w:bookmarkStart w:id="1" w:name="_Ref458739888"/>
      <w:r>
        <w:t>References</w:t>
      </w:r>
    </w:p>
    <w:p w14:paraId="6A0B59DF" w14:textId="77777777" w:rsidR="00D46932" w:rsidRDefault="006D136D" w:rsidP="008669B1">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D46932" w14:paraId="5179F05F" w14:textId="77777777">
        <w:trPr>
          <w:divId w:val="21783457"/>
          <w:tblCellSpacing w:w="15" w:type="dxa"/>
        </w:trPr>
        <w:tc>
          <w:tcPr>
            <w:tcW w:w="50" w:type="pct"/>
            <w:hideMark/>
          </w:tcPr>
          <w:p w14:paraId="4458C802" w14:textId="77777777" w:rsidR="00D46932" w:rsidRDefault="00D46932">
            <w:pPr>
              <w:pStyle w:val="Bibliography"/>
              <w:rPr>
                <w:noProof/>
                <w:sz w:val="24"/>
                <w:szCs w:val="24"/>
              </w:rPr>
            </w:pPr>
            <w:r>
              <w:rPr>
                <w:noProof/>
              </w:rPr>
              <w:t xml:space="preserve">[1] </w:t>
            </w:r>
          </w:p>
        </w:tc>
        <w:tc>
          <w:tcPr>
            <w:tcW w:w="0" w:type="auto"/>
            <w:hideMark/>
          </w:tcPr>
          <w:p w14:paraId="1CFDD8FC" w14:textId="77777777" w:rsidR="00D46932" w:rsidRDefault="00D46932">
            <w:pPr>
              <w:pStyle w:val="Bibliography"/>
              <w:rPr>
                <w:noProof/>
              </w:rPr>
            </w:pPr>
            <w:r>
              <w:rPr>
                <w:noProof/>
              </w:rPr>
              <w:t xml:space="preserve">"TR 22.886, Technical Specification Group Services and System Aspects". </w:t>
            </w:r>
          </w:p>
        </w:tc>
      </w:tr>
      <w:tr w:rsidR="00D46932" w14:paraId="359B3A5E" w14:textId="77777777">
        <w:trPr>
          <w:divId w:val="21783457"/>
          <w:tblCellSpacing w:w="15" w:type="dxa"/>
        </w:trPr>
        <w:tc>
          <w:tcPr>
            <w:tcW w:w="50" w:type="pct"/>
            <w:hideMark/>
          </w:tcPr>
          <w:p w14:paraId="4E074886" w14:textId="77777777" w:rsidR="00D46932" w:rsidRDefault="00D46932">
            <w:pPr>
              <w:pStyle w:val="Bibliography"/>
              <w:rPr>
                <w:noProof/>
              </w:rPr>
            </w:pPr>
            <w:r>
              <w:rPr>
                <w:noProof/>
              </w:rPr>
              <w:t xml:space="preserve">[2] </w:t>
            </w:r>
          </w:p>
        </w:tc>
        <w:tc>
          <w:tcPr>
            <w:tcW w:w="0" w:type="auto"/>
            <w:hideMark/>
          </w:tcPr>
          <w:p w14:paraId="0876189F" w14:textId="77777777" w:rsidR="00D46932" w:rsidRDefault="00D46932">
            <w:pPr>
              <w:pStyle w:val="Bibliography"/>
              <w:rPr>
                <w:noProof/>
              </w:rPr>
            </w:pPr>
            <w:r>
              <w:rPr>
                <w:noProof/>
              </w:rPr>
              <w:t xml:space="preserve">"RAN2#99, "Chairman notes from eV2X LTE breakout session"". </w:t>
            </w:r>
          </w:p>
        </w:tc>
      </w:tr>
    </w:tbl>
    <w:p w14:paraId="1F1B013E" w14:textId="77777777" w:rsidR="00D46932" w:rsidRDefault="00D46932">
      <w:pPr>
        <w:divId w:val="21783457"/>
        <w:rPr>
          <w:rFonts w:eastAsia="Times New Roman"/>
          <w:noProof/>
        </w:rPr>
      </w:pPr>
    </w:p>
    <w:p w14:paraId="60EF47F5" w14:textId="6A82F043" w:rsidR="008669B1" w:rsidRPr="00D46932" w:rsidRDefault="006D136D" w:rsidP="00D46932">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bookmarkEnd w:id="1"/>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8C0C20" w:rsidRDefault="008C0C20">
      <w:pPr>
        <w:spacing w:after="0" w:line="240" w:lineRule="auto"/>
      </w:pPr>
      <w:r>
        <w:separator/>
      </w:r>
    </w:p>
  </w:endnote>
  <w:endnote w:type="continuationSeparator" w:id="0">
    <w:p w14:paraId="60EF47FA" w14:textId="77777777" w:rsidR="008C0C20" w:rsidRDefault="008C0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8C0C20" w:rsidRDefault="008C0C2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5C81">
      <w:rPr>
        <w:rFonts w:ascii="Arial" w:hAnsi="Arial" w:cs="Arial"/>
        <w:b/>
        <w:noProof/>
        <w:sz w:val="18"/>
        <w:szCs w:val="18"/>
      </w:rPr>
      <w:t>1</w:t>
    </w:r>
    <w:r>
      <w:rPr>
        <w:rFonts w:ascii="Arial" w:hAnsi="Arial" w:cs="Arial"/>
        <w:b/>
        <w:sz w:val="18"/>
        <w:szCs w:val="18"/>
      </w:rPr>
      <w:fldChar w:fldCharType="end"/>
    </w:r>
  </w:p>
  <w:p w14:paraId="60EF47FC" w14:textId="77777777" w:rsidR="008C0C20" w:rsidRDefault="008C0C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8C0C20" w:rsidRDefault="008C0C20">
      <w:pPr>
        <w:spacing w:after="0" w:line="240" w:lineRule="auto"/>
      </w:pPr>
      <w:r>
        <w:separator/>
      </w:r>
    </w:p>
  </w:footnote>
  <w:footnote w:type="continuationSeparator" w:id="0">
    <w:p w14:paraId="60EF47F8" w14:textId="77777777" w:rsidR="008C0C20" w:rsidRDefault="008C0C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2"/>
  </w:num>
  <w:num w:numId="5">
    <w:abstractNumId w:val="0"/>
    <w:lvlOverride w:ilvl="0">
      <w:startOverride w:val="1"/>
    </w:lvlOverride>
  </w:num>
  <w:num w:numId="6">
    <w:abstractNumId w:val="1"/>
    <w:lvlOverride w:ilvl="0">
      <w:startOverride w:val="2"/>
    </w:lvlOverride>
  </w:num>
  <w:num w:numId="7">
    <w:abstractNumId w:val="8"/>
  </w:num>
  <w:num w:numId="8">
    <w:abstractNumId w:val="6"/>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70B0"/>
    <w:rsid w:val="00031A47"/>
    <w:rsid w:val="00043799"/>
    <w:rsid w:val="00043F8C"/>
    <w:rsid w:val="00066057"/>
    <w:rsid w:val="0007355E"/>
    <w:rsid w:val="0009610B"/>
    <w:rsid w:val="00096596"/>
    <w:rsid w:val="000A1656"/>
    <w:rsid w:val="000F5A71"/>
    <w:rsid w:val="00100001"/>
    <w:rsid w:val="001266F8"/>
    <w:rsid w:val="00133829"/>
    <w:rsid w:val="00136F78"/>
    <w:rsid w:val="00142882"/>
    <w:rsid w:val="00154E29"/>
    <w:rsid w:val="001672FC"/>
    <w:rsid w:val="00174865"/>
    <w:rsid w:val="00175FAB"/>
    <w:rsid w:val="00190D67"/>
    <w:rsid w:val="0019188A"/>
    <w:rsid w:val="00195430"/>
    <w:rsid w:val="001B7E53"/>
    <w:rsid w:val="001C137C"/>
    <w:rsid w:val="001C13E7"/>
    <w:rsid w:val="001E221E"/>
    <w:rsid w:val="001E5CA5"/>
    <w:rsid w:val="001E5E85"/>
    <w:rsid w:val="001F5F0A"/>
    <w:rsid w:val="002049D9"/>
    <w:rsid w:val="0020567B"/>
    <w:rsid w:val="0022299C"/>
    <w:rsid w:val="00225C81"/>
    <w:rsid w:val="00242773"/>
    <w:rsid w:val="00247EAA"/>
    <w:rsid w:val="00257333"/>
    <w:rsid w:val="00260222"/>
    <w:rsid w:val="00261015"/>
    <w:rsid w:val="00275D7B"/>
    <w:rsid w:val="00276574"/>
    <w:rsid w:val="00283702"/>
    <w:rsid w:val="00285D82"/>
    <w:rsid w:val="00291433"/>
    <w:rsid w:val="00293EC9"/>
    <w:rsid w:val="00295334"/>
    <w:rsid w:val="002A34DB"/>
    <w:rsid w:val="002B51AD"/>
    <w:rsid w:val="002B6E19"/>
    <w:rsid w:val="002D108B"/>
    <w:rsid w:val="002F04F8"/>
    <w:rsid w:val="002F153B"/>
    <w:rsid w:val="002F1706"/>
    <w:rsid w:val="002F432E"/>
    <w:rsid w:val="002F575F"/>
    <w:rsid w:val="00323003"/>
    <w:rsid w:val="00336D1D"/>
    <w:rsid w:val="00344D3D"/>
    <w:rsid w:val="003830B8"/>
    <w:rsid w:val="00392D6E"/>
    <w:rsid w:val="003A766F"/>
    <w:rsid w:val="003B6208"/>
    <w:rsid w:val="003C6BF7"/>
    <w:rsid w:val="003D76A8"/>
    <w:rsid w:val="003F13B0"/>
    <w:rsid w:val="00401BF6"/>
    <w:rsid w:val="00415F96"/>
    <w:rsid w:val="00433DA4"/>
    <w:rsid w:val="00437AB1"/>
    <w:rsid w:val="00445B7E"/>
    <w:rsid w:val="004504B4"/>
    <w:rsid w:val="00453DB6"/>
    <w:rsid w:val="00456DE3"/>
    <w:rsid w:val="00460EBA"/>
    <w:rsid w:val="004761DB"/>
    <w:rsid w:val="00487FF0"/>
    <w:rsid w:val="0049247B"/>
    <w:rsid w:val="004A40AE"/>
    <w:rsid w:val="004A4A78"/>
    <w:rsid w:val="004A5914"/>
    <w:rsid w:val="004B2F1A"/>
    <w:rsid w:val="004B64C4"/>
    <w:rsid w:val="004E0FA3"/>
    <w:rsid w:val="004F316F"/>
    <w:rsid w:val="00504AB4"/>
    <w:rsid w:val="005067A7"/>
    <w:rsid w:val="005107D4"/>
    <w:rsid w:val="005117DA"/>
    <w:rsid w:val="00516777"/>
    <w:rsid w:val="00523205"/>
    <w:rsid w:val="0053209F"/>
    <w:rsid w:val="00533422"/>
    <w:rsid w:val="00542BF0"/>
    <w:rsid w:val="0055706A"/>
    <w:rsid w:val="00557EDD"/>
    <w:rsid w:val="00593190"/>
    <w:rsid w:val="005A4656"/>
    <w:rsid w:val="005D362E"/>
    <w:rsid w:val="005D58A9"/>
    <w:rsid w:val="005E4641"/>
    <w:rsid w:val="005F262D"/>
    <w:rsid w:val="006242D5"/>
    <w:rsid w:val="006319C2"/>
    <w:rsid w:val="00667231"/>
    <w:rsid w:val="00683A4C"/>
    <w:rsid w:val="00687129"/>
    <w:rsid w:val="00692413"/>
    <w:rsid w:val="006A27E5"/>
    <w:rsid w:val="006B21C6"/>
    <w:rsid w:val="006C15FA"/>
    <w:rsid w:val="006C222D"/>
    <w:rsid w:val="006C551C"/>
    <w:rsid w:val="006D0058"/>
    <w:rsid w:val="006D136D"/>
    <w:rsid w:val="006F2CDA"/>
    <w:rsid w:val="006F53D1"/>
    <w:rsid w:val="0071408B"/>
    <w:rsid w:val="00732A41"/>
    <w:rsid w:val="0074639E"/>
    <w:rsid w:val="0076605A"/>
    <w:rsid w:val="00770295"/>
    <w:rsid w:val="00783A80"/>
    <w:rsid w:val="00783F29"/>
    <w:rsid w:val="00792327"/>
    <w:rsid w:val="00797358"/>
    <w:rsid w:val="007A49CD"/>
    <w:rsid w:val="007C6E5A"/>
    <w:rsid w:val="00826C94"/>
    <w:rsid w:val="00827742"/>
    <w:rsid w:val="0083198E"/>
    <w:rsid w:val="008669B1"/>
    <w:rsid w:val="00874674"/>
    <w:rsid w:val="008775ED"/>
    <w:rsid w:val="008A3B9F"/>
    <w:rsid w:val="008B1CE1"/>
    <w:rsid w:val="008C0338"/>
    <w:rsid w:val="008C0C20"/>
    <w:rsid w:val="008C7B03"/>
    <w:rsid w:val="00901C24"/>
    <w:rsid w:val="00910B7A"/>
    <w:rsid w:val="00912C36"/>
    <w:rsid w:val="00914241"/>
    <w:rsid w:val="0092329B"/>
    <w:rsid w:val="00925869"/>
    <w:rsid w:val="00930C49"/>
    <w:rsid w:val="009340C0"/>
    <w:rsid w:val="00952743"/>
    <w:rsid w:val="00955F6D"/>
    <w:rsid w:val="009573C2"/>
    <w:rsid w:val="0097023E"/>
    <w:rsid w:val="0098432E"/>
    <w:rsid w:val="00990376"/>
    <w:rsid w:val="009950C6"/>
    <w:rsid w:val="009A1C03"/>
    <w:rsid w:val="009B1181"/>
    <w:rsid w:val="009C4D8E"/>
    <w:rsid w:val="009D6F7D"/>
    <w:rsid w:val="009E3B6E"/>
    <w:rsid w:val="009E7171"/>
    <w:rsid w:val="009F758B"/>
    <w:rsid w:val="00A06418"/>
    <w:rsid w:val="00A0649F"/>
    <w:rsid w:val="00A1125D"/>
    <w:rsid w:val="00A1246A"/>
    <w:rsid w:val="00A44954"/>
    <w:rsid w:val="00A5035B"/>
    <w:rsid w:val="00A56670"/>
    <w:rsid w:val="00A56C72"/>
    <w:rsid w:val="00A62968"/>
    <w:rsid w:val="00A63B12"/>
    <w:rsid w:val="00A67587"/>
    <w:rsid w:val="00A824AF"/>
    <w:rsid w:val="00A86A88"/>
    <w:rsid w:val="00A86D91"/>
    <w:rsid w:val="00AC4F72"/>
    <w:rsid w:val="00AF256D"/>
    <w:rsid w:val="00B45EDF"/>
    <w:rsid w:val="00B65189"/>
    <w:rsid w:val="00B74D9C"/>
    <w:rsid w:val="00B76EA2"/>
    <w:rsid w:val="00B8326D"/>
    <w:rsid w:val="00BB4A45"/>
    <w:rsid w:val="00BD47AD"/>
    <w:rsid w:val="00BF1A22"/>
    <w:rsid w:val="00C0320F"/>
    <w:rsid w:val="00C0460F"/>
    <w:rsid w:val="00C06CFA"/>
    <w:rsid w:val="00C12D8A"/>
    <w:rsid w:val="00C16FDF"/>
    <w:rsid w:val="00C471C2"/>
    <w:rsid w:val="00C52641"/>
    <w:rsid w:val="00C53590"/>
    <w:rsid w:val="00C67B49"/>
    <w:rsid w:val="00C7137F"/>
    <w:rsid w:val="00C839B7"/>
    <w:rsid w:val="00C85BF2"/>
    <w:rsid w:val="00C87617"/>
    <w:rsid w:val="00C90D45"/>
    <w:rsid w:val="00C96E5D"/>
    <w:rsid w:val="00CB6AB5"/>
    <w:rsid w:val="00CC41A2"/>
    <w:rsid w:val="00CD3B95"/>
    <w:rsid w:val="00CE30AE"/>
    <w:rsid w:val="00CE70AB"/>
    <w:rsid w:val="00D20B50"/>
    <w:rsid w:val="00D24C46"/>
    <w:rsid w:val="00D30D35"/>
    <w:rsid w:val="00D46932"/>
    <w:rsid w:val="00D46F95"/>
    <w:rsid w:val="00D54884"/>
    <w:rsid w:val="00D65AAE"/>
    <w:rsid w:val="00D74365"/>
    <w:rsid w:val="00D75EC2"/>
    <w:rsid w:val="00D8472B"/>
    <w:rsid w:val="00DA3465"/>
    <w:rsid w:val="00DC299B"/>
    <w:rsid w:val="00DE5114"/>
    <w:rsid w:val="00DF07FB"/>
    <w:rsid w:val="00E0063E"/>
    <w:rsid w:val="00E172AB"/>
    <w:rsid w:val="00E31E41"/>
    <w:rsid w:val="00E42BBE"/>
    <w:rsid w:val="00E53137"/>
    <w:rsid w:val="00E60548"/>
    <w:rsid w:val="00E60B81"/>
    <w:rsid w:val="00E66747"/>
    <w:rsid w:val="00E70758"/>
    <w:rsid w:val="00E936F6"/>
    <w:rsid w:val="00EA69D8"/>
    <w:rsid w:val="00EC1779"/>
    <w:rsid w:val="00ED00AF"/>
    <w:rsid w:val="00EF693B"/>
    <w:rsid w:val="00EF7688"/>
    <w:rsid w:val="00F117A5"/>
    <w:rsid w:val="00F14223"/>
    <w:rsid w:val="00F14233"/>
    <w:rsid w:val="00F16840"/>
    <w:rsid w:val="00F421C5"/>
    <w:rsid w:val="00F52C55"/>
    <w:rsid w:val="00F63557"/>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TR22886</b:Tag>
    <b:SourceType>ConferenceProceedings</b:SourceType>
    <b:Guid>{80F46A4E-4378-47F0-B9CE-A67D863509BC}</b:Guid>
    <b:Title>TR 22.886, Technical Specification Group Services and System Aspects</b:Title>
    <b:RefOrder>1</b:RefOrder>
  </b:Source>
  <b:Source>
    <b:Tag>eV2x</b:Tag>
    <b:SourceType>ConferenceProceedings</b:SourceType>
    <b:Guid>{76A5CCC3-72C3-4C96-9693-C0FBF8A8F961}</b:Guid>
    <b:Title>RAN2#99, "Chairman notes from eV2X LTE breakout session"</b:Title>
    <b:RefOrder>2</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CF9B5B-CEE0-4B9A-AF13-D0C734C1CE5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0217966C-0099-453A-8B9D-CDC5161A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2</Pages>
  <Words>950</Words>
  <Characters>4861</Characters>
  <Application>Microsoft Office Word</Application>
  <DocSecurity>0</DocSecurity>
  <Lines>78</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91</cp:revision>
  <dcterms:created xsi:type="dcterms:W3CDTF">2017-08-10T20:32:00Z</dcterms:created>
  <dcterms:modified xsi:type="dcterms:W3CDTF">2017-09-29T02:36:00Z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NA</vt:lpwstr>
  </property>
  <property fmtid="{D5CDD505-2E9C-101B-9397-08002B2CF9AE}" pid="5" name="CTP_TimeStamp">
    <vt:lpwstr>2017-09-29 02:36:12Z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